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Inorganic polymeric materials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A61E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61E5A">
              <w:rPr>
                <w:rFonts w:asciiTheme="majorHAnsi" w:hAnsiTheme="majorHAnsi" w:cs="Arial"/>
                <w:b/>
                <w:sz w:val="18"/>
                <w:szCs w:val="18"/>
              </w:rPr>
              <w:t>IPM</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9121FD">
                    <w:rPr>
                      <w:rFonts w:asciiTheme="majorHAnsi" w:hAnsiTheme="majorHAnsi" w:cs="Arial"/>
                      <w:b/>
                      <w:sz w:val="18"/>
                      <w:szCs w:val="18"/>
                    </w:rPr>
                  </w:r>
                  <w:r w:rsidR="009121FD">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56059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Pr>
                <w:rFonts w:asciiTheme="majorHAnsi" w:hAnsiTheme="majorHAnsi"/>
                <w:b/>
                <w:sz w:val="18"/>
                <w:szCs w:val="18"/>
              </w:rPr>
              <w:t>80,58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6059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56059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Pr>
                <w:rFonts w:asciiTheme="majorHAnsi" w:hAnsiTheme="majorHAnsi" w:cs="Arial"/>
                <w:b/>
                <w:sz w:val="18"/>
                <w:szCs w:val="18"/>
              </w:rPr>
              <w:t>114,33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560596">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sidRPr="00560596">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sidRPr="00560596">
              <w:rPr>
                <w:rFonts w:asciiTheme="majorHAnsi" w:hAnsiTheme="majorHAnsi" w:cs="Arial"/>
                <w:b/>
                <w:sz w:val="18"/>
                <w:szCs w:val="18"/>
              </w:rPr>
              <w:t xml:space="preserve">Chemistry / Chemistry /Specialization Applied Chemistry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Aldina Kesić</w:t>
            </w:r>
            <w:r w:rsidR="00560596">
              <w:rPr>
                <w:rFonts w:asciiTheme="majorHAnsi" w:hAnsiTheme="majorHAnsi" w:cs="Arial"/>
                <w:b/>
                <w:sz w:val="18"/>
                <w:szCs w:val="18"/>
              </w:rPr>
              <w:t xml:space="preserve">, </w:t>
            </w:r>
            <w:r w:rsidR="00560596" w:rsidRPr="00560596">
              <w:rPr>
                <w:rFonts w:asciiTheme="majorHAnsi" w:hAnsiTheme="majorHAnsi" w:cs="Arial"/>
                <w:b/>
                <w:sz w:val="18"/>
                <w:szCs w:val="18"/>
              </w:rPr>
              <w:t>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sidRPr="00560596">
              <w:rPr>
                <w:rFonts w:asciiTheme="majorHAnsi" w:hAnsiTheme="majorHAnsi" w:cs="Arial"/>
                <w:b/>
                <w:sz w:val="18"/>
                <w:szCs w:val="18"/>
              </w:rPr>
              <w:t>Acquisition of theoretical and practical knowledge on the principles and application of inorganic and hybrid polymeric materials, as well as innovations in the practical application of these polymers.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Upon successful completion of the course, the student is able to apply the acquired knowledge and skills in the field of applied inorganic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The use of hybrid inorganic polymers as membrane materials. Innovative application of inorganic polymers (geopolymers). Polymer-based materials for the removal of nanowaste from water. Advanced synthetic and hybrid polymeric biomaterials derived from inorganic and mixed organic–inorganic sources. Glass chemistry and inorganic polymer cements. Polymeric nanocomposites based on polyolefins. Inorganic polymer solar cells. Synthesis of inorganic polymers (polysilanes, polyphosphazenes...). Methods for the preparation of elastomeric nanocomposites.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sidRPr="00560596">
              <w:rPr>
                <w:rFonts w:asciiTheme="majorHAnsi" w:hAnsiTheme="majorHAnsi" w:cs="Arial"/>
                <w:b/>
                <w:sz w:val="18"/>
                <w:szCs w:val="18"/>
              </w:rPr>
              <w:t>Lectures by the instructor, discussion and consultations between the student and the course instructor, and individual preparation of the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60596" w:rsidRPr="00560596"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Student assessment is carried out using the following methods: tests – midterm examinations, seminar paper, and final examination.</w:t>
            </w:r>
          </w:p>
          <w:p w:rsidR="00560596" w:rsidRPr="00560596" w:rsidRDefault="00560596" w:rsidP="00560596">
            <w:pPr>
              <w:pStyle w:val="NoSpacing"/>
              <w:rPr>
                <w:rFonts w:asciiTheme="majorHAnsi" w:hAnsiTheme="majorHAnsi" w:cs="Arial"/>
                <w:b/>
                <w:sz w:val="18"/>
                <w:szCs w:val="18"/>
              </w:rPr>
            </w:pPr>
            <w:r>
              <w:rPr>
                <w:rFonts w:asciiTheme="majorHAnsi" w:hAnsiTheme="majorHAnsi" w:cs="Arial"/>
                <w:b/>
                <w:sz w:val="18"/>
                <w:szCs w:val="18"/>
              </w:rPr>
              <w:t>-</w:t>
            </w:r>
            <w:r w:rsidRPr="00560596">
              <w:rPr>
                <w:rFonts w:asciiTheme="majorHAnsi" w:hAnsiTheme="majorHAnsi" w:cs="Arial"/>
                <w:b/>
                <w:sz w:val="18"/>
                <w:szCs w:val="18"/>
              </w:rPr>
              <w:t xml:space="preserve">Student activity during lectures: maximum 5 points </w:t>
            </w:r>
          </w:p>
          <w:p w:rsidR="00560596" w:rsidRPr="00560596" w:rsidRDefault="00560596" w:rsidP="00560596">
            <w:pPr>
              <w:pStyle w:val="NoSpacing"/>
              <w:rPr>
                <w:rFonts w:asciiTheme="majorHAnsi" w:hAnsiTheme="majorHAnsi" w:cs="Arial"/>
                <w:b/>
                <w:sz w:val="18"/>
                <w:szCs w:val="18"/>
              </w:rPr>
            </w:pPr>
            <w:r>
              <w:rPr>
                <w:rFonts w:asciiTheme="majorHAnsi" w:hAnsiTheme="majorHAnsi" w:cs="Arial"/>
                <w:b/>
                <w:sz w:val="18"/>
                <w:szCs w:val="18"/>
              </w:rPr>
              <w:t>-</w:t>
            </w:r>
            <w:r w:rsidRPr="00560596">
              <w:rPr>
                <w:rFonts w:asciiTheme="majorHAnsi" w:hAnsiTheme="majorHAnsi" w:cs="Arial"/>
                <w:b/>
                <w:sz w:val="18"/>
                <w:szCs w:val="18"/>
              </w:rPr>
              <w:t xml:space="preserve">Two tests (first and second midterm): maximum 2 × 20 points </w:t>
            </w:r>
          </w:p>
          <w:p w:rsidR="00560596" w:rsidRPr="00560596" w:rsidRDefault="00560596" w:rsidP="00560596">
            <w:pPr>
              <w:pStyle w:val="NoSpacing"/>
              <w:rPr>
                <w:rFonts w:asciiTheme="majorHAnsi" w:hAnsiTheme="majorHAnsi" w:cs="Arial"/>
                <w:b/>
                <w:sz w:val="18"/>
                <w:szCs w:val="18"/>
              </w:rPr>
            </w:pPr>
            <w:r>
              <w:rPr>
                <w:rFonts w:asciiTheme="majorHAnsi" w:hAnsiTheme="majorHAnsi" w:cs="Arial"/>
                <w:b/>
                <w:sz w:val="18"/>
                <w:szCs w:val="18"/>
              </w:rPr>
              <w:t>-</w:t>
            </w:r>
            <w:r w:rsidRPr="00560596">
              <w:rPr>
                <w:rFonts w:asciiTheme="majorHAnsi" w:hAnsiTheme="majorHAnsi" w:cs="Arial"/>
                <w:b/>
                <w:sz w:val="18"/>
                <w:szCs w:val="18"/>
              </w:rPr>
              <w:t xml:space="preserve">Seminar paper from the course area: 15 points </w:t>
            </w:r>
          </w:p>
          <w:p w:rsidR="00560596" w:rsidRPr="00560596" w:rsidRDefault="00560596" w:rsidP="00560596">
            <w:pPr>
              <w:pStyle w:val="NoSpacing"/>
              <w:rPr>
                <w:rFonts w:asciiTheme="majorHAnsi" w:hAnsiTheme="majorHAnsi" w:cs="Arial"/>
                <w:b/>
                <w:sz w:val="18"/>
                <w:szCs w:val="18"/>
              </w:rPr>
            </w:pPr>
            <w:r>
              <w:rPr>
                <w:rFonts w:asciiTheme="majorHAnsi" w:hAnsiTheme="majorHAnsi" w:cs="Arial"/>
                <w:b/>
                <w:sz w:val="18"/>
                <w:szCs w:val="18"/>
              </w:rPr>
              <w:t>-</w:t>
            </w:r>
            <w:r w:rsidRPr="00560596">
              <w:rPr>
                <w:rFonts w:asciiTheme="majorHAnsi" w:hAnsiTheme="majorHAnsi" w:cs="Arial"/>
                <w:b/>
                <w:sz w:val="18"/>
                <w:szCs w:val="18"/>
              </w:rPr>
              <w:t xml:space="preserve">Final examination: maximum 40 points </w:t>
            </w:r>
          </w:p>
          <w:p w:rsidR="00CB72ED" w:rsidRPr="00B96B4F"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To pass the course, the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60596" w:rsidRPr="00560596"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Pre-exam obligations: Tests: 40%; Seminar paper: 15%; Student activities: 5%</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Final exam: 40%.</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To pass the course, a student must achieve a minimum of 55 cumulative points.</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Grading system:</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Grade six (6): 55–64 points</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Grade seven (7): 65–74 points</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Grade eight (8): 75–84 points</w:t>
            </w:r>
          </w:p>
          <w:p w:rsidR="00560596" w:rsidRPr="00560596"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Grade nine (9): 85–94 points</w:t>
            </w:r>
          </w:p>
          <w:p w:rsidR="00CB72ED" w:rsidRPr="00B96B4F"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60596" w:rsidRPr="00560596"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0596" w:rsidRPr="00560596">
              <w:rPr>
                <w:rFonts w:asciiTheme="majorHAnsi" w:hAnsiTheme="majorHAnsi" w:cs="Arial"/>
                <w:b/>
                <w:sz w:val="18"/>
                <w:szCs w:val="18"/>
              </w:rPr>
              <w:t>1..Inorganic polymers, Second Editions, James E. Mark, Harry R. Allcock, and Robert West</w:t>
            </w:r>
          </w:p>
          <w:p w:rsidR="00CB72ED" w:rsidRPr="00B96B4F"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2. Smart Inorganic Polymers: Synthesis, Properties, and Emerging Applications in Materials and Life Sciences, Editor(s):Evamarie Hey-Hawkins, Muriel Hissler,  2019</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60596" w:rsidRPr="00560596" w:rsidRDefault="00607A6E" w:rsidP="0056059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sidRPr="00560596">
              <w:rPr>
                <w:rFonts w:asciiTheme="majorHAnsi" w:hAnsiTheme="majorHAnsi" w:cs="Arial"/>
                <w:b/>
                <w:sz w:val="18"/>
                <w:szCs w:val="18"/>
              </w:rPr>
              <w:t>-https://www.sciencedirect.com/topics/chemical-engineering/inorganic-polymer</w:t>
            </w:r>
          </w:p>
          <w:p w:rsidR="00CB72ED" w:rsidRPr="00B96B4F" w:rsidRDefault="00560596" w:rsidP="00560596">
            <w:pPr>
              <w:pStyle w:val="NoSpacing"/>
              <w:rPr>
                <w:rFonts w:asciiTheme="majorHAnsi" w:hAnsiTheme="majorHAnsi" w:cs="Arial"/>
                <w:b/>
                <w:sz w:val="18"/>
                <w:szCs w:val="18"/>
              </w:rPr>
            </w:pPr>
            <w:r w:rsidRPr="00560596">
              <w:rPr>
                <w:rFonts w:asciiTheme="majorHAnsi" w:hAnsiTheme="majorHAnsi" w:cs="Arial"/>
                <w:b/>
                <w:sz w:val="18"/>
                <w:szCs w:val="18"/>
              </w:rPr>
              <w:t>https://www.sciencedirect.com/science/article/pii/B9780128146736000085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0596">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56059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560596">
              <w:rPr>
                <w:rFonts w:asciiTheme="majorHAnsi" w:hAnsiTheme="majorHAnsi" w:cs="Arial"/>
                <w:b/>
                <w:sz w:val="18"/>
                <w:szCs w:val="18"/>
              </w:rPr>
            </w:r>
            <w:r w:rsidRPr="00560596">
              <w:rPr>
                <w:rFonts w:asciiTheme="majorHAnsi" w:hAnsiTheme="majorHAnsi" w:cs="Arial"/>
                <w:b/>
                <w:sz w:val="18"/>
                <w:szCs w:val="18"/>
              </w:rPr>
              <w:fldChar w:fldCharType="separate"/>
            </w:r>
            <w:r w:rsidR="00FB48B6" w:rsidRPr="00560596">
              <w:rPr>
                <w:rFonts w:asciiTheme="majorHAnsi" w:hAnsiTheme="majorHAnsi" w:cs="Arial"/>
                <w:b/>
                <w:spacing w:val="215"/>
                <w:sz w:val="18"/>
                <w:szCs w:val="18"/>
              </w:rPr>
              <w:t>    </w:t>
            </w:r>
            <w:r w:rsidR="00FB48B6" w:rsidRPr="00560596">
              <w:rPr>
                <w:rFonts w:asciiTheme="majorHAnsi" w:hAnsiTheme="majorHAnsi" w:cs="Arial"/>
                <w:b/>
                <w:spacing w:val="3"/>
                <w:sz w:val="18"/>
                <w:szCs w:val="18"/>
              </w:rPr>
              <w:t> </w:t>
            </w:r>
            <w:r w:rsidRPr="00560596">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1FD" w:rsidRDefault="009121FD">
      <w:pPr>
        <w:spacing w:line="240" w:lineRule="auto"/>
      </w:pPr>
      <w:r>
        <w:separator/>
      </w:r>
    </w:p>
  </w:endnote>
  <w:endnote w:type="continuationSeparator" w:id="0">
    <w:p w:rsidR="009121FD" w:rsidRDefault="009121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A61E5A">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61E5A">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61E5A">
            <w:rPr>
              <w:rFonts w:ascii="Cambria" w:hAnsi="Cambria" w:cs="Calibri"/>
              <w:noProof/>
              <w:sz w:val="16"/>
              <w:szCs w:val="16"/>
            </w:rPr>
            <w:t>2</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1FD" w:rsidRDefault="009121FD">
      <w:pPr>
        <w:spacing w:after="0"/>
      </w:pPr>
      <w:r>
        <w:separator/>
      </w:r>
    </w:p>
  </w:footnote>
  <w:footnote w:type="continuationSeparator" w:id="0">
    <w:p w:rsidR="009121FD" w:rsidRDefault="009121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094C"/>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0596"/>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21FD"/>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61E5A"/>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3CB558-54DD-4456-9653-2D25E439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13805-0293-4EF9-9549-B603C794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22</cp:revision>
  <cp:lastPrinted>2024-03-25T13:56:00Z</cp:lastPrinted>
  <dcterms:created xsi:type="dcterms:W3CDTF">2024-03-25T12:55:00Z</dcterms:created>
  <dcterms:modified xsi:type="dcterms:W3CDTF">2026-04-27T11:09:00Z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